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4E" w:rsidRDefault="00BC214E" w:rsidP="00BC2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23"/>
      <w:bookmarkEnd w:id="0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7"/>
      <w:bookmarkEnd w:id="1"/>
      <w:r>
        <w:rPr>
          <w:rFonts w:ascii="Calibri" w:hAnsi="Calibri" w:cs="Calibri"/>
          <w:b/>
          <w:bCs/>
        </w:rPr>
        <w:t>РЕКОМЕНДАЦИИ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ОФОРМЛЕНИЮ ТРУДОВЫХ ОТНОШЕНИЙ С РАБОТНИКОМ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(МУНИЦИПАЛЬНОГО) УЧРЕЖДЕНИЯ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ВВЕДЕНИИ ЭФФЕКТИВНОГО КОНТРАКТА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Рекомендации по оформлению трудовых отношений с работником государственного (муниципального) учреждения при введении эффективного контракта (далее - Рекомендации) разработаны в целях оказания методической помощи государственным (муниципальным) учреждениям (далее - учреждение) в связи с введением эффективного контракта, предусмотренного </w:t>
      </w:r>
      <w:hyperlink r:id="rId4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</w:t>
      </w:r>
      <w:proofErr w:type="gramEnd"/>
      <w:r>
        <w:rPr>
          <w:rFonts w:ascii="Calibri" w:hAnsi="Calibri" w:cs="Calibri"/>
        </w:rPr>
        <w:t xml:space="preserve"> (далее - Программа).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 могут применяться при оформлении трудовых отношений со всеми работниками учреждений.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соответствии с </w:t>
      </w:r>
      <w:hyperlink r:id="rId5" w:history="1">
        <w:r>
          <w:rPr>
            <w:rFonts w:ascii="Calibri" w:hAnsi="Calibri" w:cs="Calibri"/>
            <w:color w:val="0000FF"/>
          </w:rPr>
          <w:t>разделом IV</w:t>
        </w:r>
      </w:hyperlink>
      <w:r>
        <w:rPr>
          <w:rFonts w:ascii="Calibri" w:hAnsi="Calibri" w:cs="Calibri"/>
        </w:rPr>
        <w:t xml:space="preserve"> Программы,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 &lt;1&gt;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" w:history="1">
        <w:r>
          <w:rPr>
            <w:rFonts w:ascii="Calibri" w:hAnsi="Calibri" w:cs="Calibri"/>
            <w:color w:val="0000FF"/>
          </w:rPr>
          <w:t>Раздел IV</w:t>
        </w:r>
      </w:hyperlink>
      <w:r>
        <w:rPr>
          <w:rFonts w:ascii="Calibri" w:hAnsi="Calibri" w:cs="Calibri"/>
        </w:rPr>
        <w:t xml:space="preserve"> Программы.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оформлении трудовых отношений с работником учреждения рекомендуется учитывать нормы, предусмотренные локальными нормативными актами, коллективными договорами и соглашениями, определяющими: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систему оплаты труда работников (включая размеры окладов (должностных окладов), ставок заработной платы, доплат, надбавок);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систему нормирования труда;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условия труда работников по итогам </w:t>
      </w:r>
      <w:hyperlink r:id="rId7" w:history="1">
        <w:r>
          <w:rPr>
            <w:rFonts w:ascii="Calibri" w:hAnsi="Calibri" w:cs="Calibri"/>
            <w:color w:val="0000FF"/>
          </w:rPr>
          <w:t>аттестации</w:t>
        </w:r>
      </w:hyperlink>
      <w:r>
        <w:rPr>
          <w:rFonts w:ascii="Calibri" w:hAnsi="Calibri" w:cs="Calibri"/>
        </w:rPr>
        <w:t xml:space="preserve"> рабочих мест, а также иные особые условия труда работников;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рабочего времени и времени отдыха;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штатное расписание учреждения;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условия, определяющие в необходимых случаях характер работы (подвижной, разъездной, в пути, другой характер работы).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поступлении на работу работник учреждения и работодатель заключают трудовой договор в соответствии с Трудовым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2002, N 1 (ч. I), ст. 3; 2004, N 35, ст. 3607; 2006, N 27, ст. 2878) (далее - Трудовой кодекс Российской Федерации). При этом используется примерная форма трудового договора с работником учреждения, приведенная в </w:t>
      </w:r>
      <w:hyperlink r:id="rId9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Программе (далее - примерная форма трудового договора).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 работником учреждения, состоящим в трудовых отношениях с работодателем, рекомендуется оформлять соглашение об изменении определенных сторонами условий трудового договора (далее также - дополнительное соглашение к трудовому договору).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второй статьи 74</w:t>
        </w:r>
      </w:hyperlink>
      <w:r>
        <w:rPr>
          <w:rFonts w:ascii="Calibri" w:hAnsi="Calibri" w:cs="Calibri"/>
        </w:rPr>
        <w:t xml:space="preserve"> Трудового кодекса Российской Федерации о </w:t>
      </w:r>
      <w:r>
        <w:rPr>
          <w:rFonts w:ascii="Calibri" w:hAnsi="Calibri" w:cs="Calibri"/>
        </w:rPr>
        <w:lastRenderedPageBreak/>
        <w:t xml:space="preserve">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два месяца, если иное не предусмотрено Трудовым кодексом Российской Федерации.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Дополнительное соглашение к трудовому договору рекомендуется заключать по мере разработки показателей и критериев </w:t>
      </w:r>
      <w:proofErr w:type="gramStart"/>
      <w:r>
        <w:rPr>
          <w:rFonts w:ascii="Calibri" w:hAnsi="Calibri" w:cs="Calibri"/>
        </w:rPr>
        <w:t>оценки эффективности труда работников учреждения</w:t>
      </w:r>
      <w:proofErr w:type="gramEnd"/>
      <w:r>
        <w:rPr>
          <w:rFonts w:ascii="Calibri" w:hAnsi="Calibri" w:cs="Calibri"/>
        </w:rPr>
        <w:t xml:space="preserve"> для определения размеров и условий осуществления стимулирующих выплат.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72</w:t>
        </w:r>
      </w:hyperlink>
      <w:r>
        <w:rPr>
          <w:rFonts w:ascii="Calibri" w:hAnsi="Calibri" w:cs="Calibri"/>
        </w:rPr>
        <w:t xml:space="preserve"> Трудового кодекса Российской Федерации соглашение об изменении определенных сторонами условий трудового договора заключается в письменной форме.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Рекомендуется составлять дополнительное соглашение к трудовому договору в двух экземплярах. Один экземпляр дополнительного соглашения к трудовому договору передается работнику учреждения, второй - хранится в кадровой службе работодателя. При этом получение работником учреждения экземпляра дополнительного соглашения к трудовому договору рекомендуется подтверждать подписью работника на экземпляре трудового договора или дополнительного соглашения к трудовому договору, </w:t>
      </w:r>
      <w:proofErr w:type="gramStart"/>
      <w:r>
        <w:rPr>
          <w:rFonts w:ascii="Calibri" w:hAnsi="Calibri" w:cs="Calibri"/>
        </w:rPr>
        <w:t>хранящихся</w:t>
      </w:r>
      <w:proofErr w:type="gramEnd"/>
      <w:r>
        <w:rPr>
          <w:rFonts w:ascii="Calibri" w:hAnsi="Calibri" w:cs="Calibri"/>
        </w:rPr>
        <w:t xml:space="preserve"> у работодателя.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отсутствия в ранее заключенном трудовом договоре информации о работодателе и работнике учреждения, предусмотренной примерной </w:t>
      </w:r>
      <w:hyperlink r:id="rId12" w:history="1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 xml:space="preserve"> трудового договора, рекомендуется указывать эту информацию в дополнительном соглашении к трудовому договору.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дополнительное соглашение к трудовому договору рекомендуется включать условия, предусмотренные </w:t>
      </w:r>
      <w:hyperlink r:id="rId13" w:history="1">
        <w:r>
          <w:rPr>
            <w:rFonts w:ascii="Calibri" w:hAnsi="Calibri" w:cs="Calibri"/>
            <w:color w:val="0000FF"/>
          </w:rPr>
          <w:t>статьей 57</w:t>
        </w:r>
      </w:hyperlink>
      <w:r>
        <w:rPr>
          <w:rFonts w:ascii="Calibri" w:hAnsi="Calibri" w:cs="Calibri"/>
        </w:rPr>
        <w:t xml:space="preserve"> Трудового кодекса Российской Федерации (в случае отсутствия этих условий в ранее заключенном трудовом договоре), в частности: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работы, а в случае, когда работник принимается для работы в конкретном филиале, представительстве или ином обособленном структурном подразделении учреждения,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учреждения работы.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Если в соответствии с Трудовым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</w:t>
      </w:r>
      <w:hyperlink r:id="rId1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устанавливаемом Правительством Российской Федерации, или соответствующим положениям профессиональных стандартов;</w:t>
      </w:r>
      <w:proofErr w:type="gramEnd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когда был заключен срочный трудовой договор, также срок его действия и обстоятельства (причины), послужившие основанием для заключения срочного трудового договора в соответствии с Трудовым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или иным федеральным законом;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условия оплаты труда (в том числе размер тарифной ставки или оклада (должностного оклада) работника учреждения, доплаты, надбавки и поощрительные выплаты). </w:t>
      </w:r>
      <w:proofErr w:type="gramStart"/>
      <w:r>
        <w:rPr>
          <w:rFonts w:ascii="Calibri" w:hAnsi="Calibri" w:cs="Calibri"/>
        </w:rPr>
        <w:t>При этом рекомендуется конкретизировать условия осуществления выплат: компенсационного характера (наименование выплаты, размер выплаты, а также факторы, обусловливающие получение выплаты); стимулирующего характера (наименование выплаты, условия получения выплаты, показатели и критерии оценки эффективности деятельности, периодичность, размер выплаты);</w:t>
      </w:r>
      <w:proofErr w:type="gramEnd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рабочего времени и времени отдыха (если для данного работника учреждения он отличается от общих правил, действующих в учреждении);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компенсации за тяжелую работу и работу с вредными и (или) опасными условиями труда, если работник учреждения принимается на работу в соответствующих условиях, с указанием характеристик условий труда на рабочем месте;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условие об обязательном социальном страховании работника учреждения в соответствии с Трудовым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иными федеральными законами;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в дополнительное соглашение к трудовому договору рекомендуется включать следующие условия: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ежегодного основного (ежегодного основного удлиненного) оплачиваемого отпуска работника учреждения. При предоставлении работнику учреждения ежегодного дополнительного отпуска в связи с особыми условиями труда, профессиональной спецификой в трудовом договоре указывается продолжительность ежегодного основного (ежегодного основного удлиненного) оплачиваемого отпуска и продолжительность дополнительных отпусков с указанием оснований для их предоставления;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меры социальной поддержки и другие условия в случаях, предусмотренных трудовым законодательством и иными нормативными правовыми актами, содержащими нормы трудового права (например, особенности установления учебной нагрузки преподавателей образовательных учреждений высшего и дополнительного профессионального образования, исчисления заработной платы учителей, других педагогических работников с учетом установленного объема учебной нагрузки и другие особенности).</w:t>
      </w:r>
      <w:proofErr w:type="gramEnd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Рекомендуется отражать должностные обязанности работника учреждения непосредственно в тексте трудового договора. </w:t>
      </w:r>
      <w:proofErr w:type="gramStart"/>
      <w:r>
        <w:rPr>
          <w:rFonts w:ascii="Calibri" w:hAnsi="Calibri" w:cs="Calibri"/>
        </w:rPr>
        <w:t>В случае поручения работнику учреждения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рекомендуется отражать в дополнительном соглашении к трудовому договору.</w:t>
      </w:r>
      <w:proofErr w:type="gramEnd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Если трудовые обязанности работников учреждения полностью или частично совпадают с должностными обязанностями, предусмотренными квалификационными характеристиками Единого квалификационного </w:t>
      </w:r>
      <w:hyperlink r:id="rId18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 (далее - ЕКС), характеристиками работ Единого тарифно-квалификационного </w:t>
      </w:r>
      <w:hyperlink r:id="rId19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работ и профессий рабочих (далее - ЕТКС) или соответствующими положениями профессиональных стандартов, то при оформлении трудовых отношений рекомендуется применять наименования должностей служащих (профессий рабочих), предусмотренные соответствующими квалификационными характеристиками </w:t>
      </w:r>
      <w:hyperlink r:id="rId20" w:history="1">
        <w:r>
          <w:rPr>
            <w:rFonts w:ascii="Calibri" w:hAnsi="Calibri" w:cs="Calibri"/>
            <w:color w:val="0000FF"/>
          </w:rPr>
          <w:t>ЕКС</w:t>
        </w:r>
      </w:hyperlink>
      <w:r>
        <w:rPr>
          <w:rFonts w:ascii="Calibri" w:hAnsi="Calibri" w:cs="Calibri"/>
        </w:rPr>
        <w:t>, тарифно-квалификационными характеристиками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r>
          <w:rPr>
            <w:rFonts w:ascii="Calibri" w:hAnsi="Calibri" w:cs="Calibri"/>
            <w:color w:val="0000FF"/>
          </w:rPr>
          <w:t>ЕТКС</w:t>
        </w:r>
      </w:hyperlink>
      <w:r>
        <w:rPr>
          <w:rFonts w:ascii="Calibri" w:hAnsi="Calibri" w:cs="Calibri"/>
        </w:rPr>
        <w:t xml:space="preserve"> и профессиональными стандартами.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9"/>
      <w:bookmarkEnd w:id="2"/>
      <w:r>
        <w:rPr>
          <w:rFonts w:ascii="Calibri" w:hAnsi="Calibri" w:cs="Calibri"/>
        </w:rPr>
        <w:t>11.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выплаты за интенсивность и высокие результаты работы: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надбавка за интенсивность труда;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премия за высокие результаты работы;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премия за выполнение особо важных и ответственных работ;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выплаты за качество выполняемых работ: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надбавка за наличие квалификационной категории;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премия за образцовое выполнение государственного (муниципального) задания;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выплаты за стаж непрерывной работы, выслугу лет: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надбавка за выслугу лет;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надбавка за стаж непрерывной работы;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премиальные выплаты по итогам работы: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премия по итогам работы за месяц;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премия по итогам работы за квартал;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премия по итогам работы за год;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выплаты работникам, занятым на тяжелых работах, работах с вредными и (или) опасными и иными особыми условиями труда;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выплаты за работу в местностях с особыми климатическими условиями: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районный коэффициент</w:t>
        </w:r>
      </w:hyperlink>
      <w:r>
        <w:rPr>
          <w:rFonts w:ascii="Calibri" w:hAnsi="Calibri" w:cs="Calibri"/>
        </w:rPr>
        <w:t>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за работу в пустынных и безводных местностях;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коэффициент за работу в высокогорных районах;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надбавка</w:t>
        </w:r>
      </w:hyperlink>
      <w:r>
        <w:rPr>
          <w:rFonts w:ascii="Calibri" w:hAnsi="Calibri" w:cs="Calibri"/>
        </w:rPr>
        <w:t xml:space="preserve"> за стаж работы в районах Крайнего Севера и приравненных к ним местностях;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доплата за совмещение профессий (должностей);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доплата за расширение зон обслуживания;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доплата за увеличение объема работы;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доплата за выполнение работ различной квалификации;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доплата за работу в ночное время;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 xml:space="preserve">) надбавка за работу со </w:t>
      </w:r>
      <w:hyperlink r:id="rId24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тайну, их засекречиванием и рассекречиванием, а также за работу с шифрами.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системах оплаты труда, трудовых договорах и дополнительных соглашениях к трудовым договорам с работниками учреждений могут быть предусмотрены другие выплаты компенсационного и стимулирующего характера в соответствии с трудовым законодательством, иными нормативными правовыми актами, содержащими нормы трудового права, а также коллективными договорами и соглашениями.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трудовом договоре или дополнительном соглашении к трудовому договору условия осуществления выплат, предусмотренных </w:t>
      </w:r>
      <w:hyperlink w:anchor="Par69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Рекомендаций, рекомендуется конкретизировать применительно к данному работнику учреждения.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Условия осуществления выплат стимулирующего и компенсационного характера, а также предоставления мер социальной поддержки рекомендуется излагать в трудовом договоре или дополнительном соглашении к трудовому договору в форме, понятной работнику учреждения и работодателю, и исключающей неоднозначное толкование этих условий. При этом не рекомендуется ограничиваться только ссылками на положения локальных нормативных актов, содержащих нормы, регулирующие вопросы осуществления выплат стимулирующего и компенсационного и характера.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какие-либо выплаты устанавливаются в абсолютном размере (в рублях), рекомендуется указывать этот размер в трудовом договоре или дополнительном соглашении к трудовому договору. Размер выплат, устанавливаемых в процентах, баллах и других единицах измерения, рекомендуется указывать в этих единицах с указанием условий, при достижении которых они осуществляются.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Если работнику учреждения поручается с его письменного согласия дополнительная работа по другой профессии (должности), в трудовом договоре или дополнительном соглашении к трудовому договору рекомендуется указывать размер доплаты за совмещение профессий (должностей), определяемый по соглашению сторон трудовых отношений исходя из сложности выполняемой работы, ее объема, занятости работника по основной и совмещаемой работе и других факторов.</w:t>
      </w:r>
      <w:proofErr w:type="gramEnd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В трудовом договоре или дополнительном соглашении к трудовому договору могут предусматриваться дополнительные условия, конкретизирующие права и обязанности сторон трудового договора, не ухудшающие положение работника учреждения по сравнению с условиями, установленными законодательством Российской Федерации и иными нормативными правовыми актами, коллективным договором, соглашениями, локальными нормативными актами, в частности:</w:t>
      </w:r>
      <w:proofErr w:type="gramEnd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испытании;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неразглашении охраняемой законом </w:t>
      </w:r>
      <w:hyperlink r:id="rId25" w:history="1">
        <w:r>
          <w:rPr>
            <w:rFonts w:ascii="Calibri" w:hAnsi="Calibri" w:cs="Calibri"/>
            <w:color w:val="0000FF"/>
          </w:rPr>
          <w:t>тайны</w:t>
        </w:r>
      </w:hyperlink>
      <w:r>
        <w:rPr>
          <w:rFonts w:ascii="Calibri" w:hAnsi="Calibri" w:cs="Calibri"/>
        </w:rPr>
        <w:t xml:space="preserve"> (государственной, служебной, коммерческой и иной), персональных данных работников учреждения;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обязанности работника учреждения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 видах и об условиях дополнительного страхования работника учреждения;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улучшении социально-бытовых условий работника учреждения и членов его семьи;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уточнении применительно к условиям работы данного работника учреждения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трудовом договоре или дополнительном соглашении к трудовому договору могут предусматриваться также случаи, связанные с возложением на работников учреждения с их согласия дополнительных обязанностей с указанием размеров доплат (например, за выполнение функций классного руководителя).</w:t>
      </w: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26" w:history="1">
        <w:r>
          <w:rPr>
            <w:rFonts w:ascii="Calibri" w:hAnsi="Calibri" w:cs="Calibri"/>
            <w:color w:val="0000FF"/>
          </w:rPr>
          <w:t>частью первой статьи 100</w:t>
        </w:r>
      </w:hyperlink>
      <w:r>
        <w:rPr>
          <w:rFonts w:ascii="Calibri" w:hAnsi="Calibri" w:cs="Calibri"/>
        </w:rPr>
        <w:t xml:space="preserve"> Трудового кодекса Российской Федерации 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смены), время начала и окончания работы, время перерывов в работе, число смен в сутки, чередование рабочих и нерабочих дней,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общих правил, установленных у данного работодателя, - трудовым договором.</w:t>
      </w:r>
      <w:proofErr w:type="gramEnd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в отдельных случаях возникает необходимость конкретизировать режим рабочего времени, прийти к соглашению о неполном рабочем времени, гибком графике работы, определить особенности режима рабочего времени в отдельные периоды деятельности учреждения (например, каникулярный период, не совпадающий с отпуском работника), данные особенности режима рабочего времени рекомендуется указывать в трудовом договоре или дополнительном соглашении к трудовому договору.</w:t>
      </w:r>
      <w:proofErr w:type="gramEnd"/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14E" w:rsidRDefault="00BC21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214E" w:rsidRDefault="00BC21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7CC4" w:rsidRDefault="001B7CC4"/>
    <w:sectPr w:rsidR="001B7CC4" w:rsidSect="005A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4E"/>
    <w:rsid w:val="001B7CC4"/>
    <w:rsid w:val="00BC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A6AE607F67387DB35B071B7AC6269B1F832B837ED401F3CB6EF355993E31EC5224B524F80A41FjEy5H" TargetMode="External"/><Relationship Id="rId13" Type="http://schemas.openxmlformats.org/officeDocument/2006/relationships/hyperlink" Target="consultantplus://offline/ref=F3BA6AE607F67387DB35B071B7AC6269B1F832B837ED401F3CB6EF355993E31EC5224B504Cj8y8H" TargetMode="External"/><Relationship Id="rId18" Type="http://schemas.openxmlformats.org/officeDocument/2006/relationships/hyperlink" Target="consultantplus://offline/ref=F3BA6AE607F67387DB35B071B7AC6269B9FB39B836E61D1534EFE337j5yEH" TargetMode="External"/><Relationship Id="rId26" Type="http://schemas.openxmlformats.org/officeDocument/2006/relationships/hyperlink" Target="consultantplus://offline/ref=F3BA6AE607F67387DB35B071B7AC6269B1F832B837ED401F3CB6EF355993E31EC5224B5647j8y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BA6AE607F67387DB35B071B7AC6269B9FE33BF39E61D1534EFE337j5yEH" TargetMode="External"/><Relationship Id="rId7" Type="http://schemas.openxmlformats.org/officeDocument/2006/relationships/hyperlink" Target="consultantplus://offline/ref=F3BA6AE607F67387DB35B071B7AC6269B1F83BB738E4401F3CB6EF355993E31EC5224B524F80A018jEy5H" TargetMode="External"/><Relationship Id="rId12" Type="http://schemas.openxmlformats.org/officeDocument/2006/relationships/hyperlink" Target="consultantplus://offline/ref=F3BA6AE607F67387DB35B071B7AC6269B1FF32BC3FEE401F3CB6EF355993E31EC5224B524F80A21AjEy1H" TargetMode="External"/><Relationship Id="rId17" Type="http://schemas.openxmlformats.org/officeDocument/2006/relationships/hyperlink" Target="consultantplus://offline/ref=F3BA6AE607F67387DB35B071B7AC6269B1F832B837ED401F3CB6EF3559j9y3H" TargetMode="External"/><Relationship Id="rId25" Type="http://schemas.openxmlformats.org/officeDocument/2006/relationships/hyperlink" Target="consultantplus://offline/ref=F3BA6AE607F67387DB35B071B7AC6269B9FF33B73EE61D1534EFE337j5y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BA6AE607F67387DB35B071B7AC6269B1F832B837ED401F3CB6EF355993E31EC5224B5049j8y9H" TargetMode="External"/><Relationship Id="rId20" Type="http://schemas.openxmlformats.org/officeDocument/2006/relationships/hyperlink" Target="consultantplus://offline/ref=F3BA6AE607F67387DB35B071B7AC6269B9FB39B836E61D1534EFE337j5y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A6AE607F67387DB35B071B7AC6269B1FF32BC3FEE401F3CB6EF355993E31EC5224B524F80A118jEy6H" TargetMode="External"/><Relationship Id="rId11" Type="http://schemas.openxmlformats.org/officeDocument/2006/relationships/hyperlink" Target="consultantplus://offline/ref=F3BA6AE607F67387DB35B071B7AC6269B1F832B837ED401F3CB6EF355993E31EC5224B574Bj8y0H" TargetMode="External"/><Relationship Id="rId24" Type="http://schemas.openxmlformats.org/officeDocument/2006/relationships/hyperlink" Target="consultantplus://offline/ref=F3BA6AE607F67387DB35B071B7AC6269B9FF33B73EE61D1534EFE3375E9CBC09C26B47534F80A0j1yAH" TargetMode="External"/><Relationship Id="rId5" Type="http://schemas.openxmlformats.org/officeDocument/2006/relationships/hyperlink" Target="consultantplus://offline/ref=F3BA6AE607F67387DB35B071B7AC6269B1FF32BC3FEE401F3CB6EF355993E31EC5224B524F80A119jEyFH" TargetMode="External"/><Relationship Id="rId15" Type="http://schemas.openxmlformats.org/officeDocument/2006/relationships/hyperlink" Target="consultantplus://offline/ref=F3BA6AE607F67387DB35B071B7AC6269B4F93DBB3EE61D1534EFE337j5yEH" TargetMode="External"/><Relationship Id="rId23" Type="http://schemas.openxmlformats.org/officeDocument/2006/relationships/hyperlink" Target="consultantplus://offline/ref=F3BA6AE607F67387DB35B071B7AC6269B1FD32B738EC401F3CB6EF355993E31EC5224B524F80A018jEyE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3BA6AE607F67387DB35B071B7AC6269B1F832B837ED401F3CB6EF355993E31EC5224B574Aj8y9H" TargetMode="External"/><Relationship Id="rId19" Type="http://schemas.openxmlformats.org/officeDocument/2006/relationships/hyperlink" Target="consultantplus://offline/ref=F3BA6AE607F67387DB35B071B7AC6269B9FE33BF39E61D1534EFE337j5yEH" TargetMode="External"/><Relationship Id="rId4" Type="http://schemas.openxmlformats.org/officeDocument/2006/relationships/hyperlink" Target="consultantplus://offline/ref=F3BA6AE607F67387DB35B071B7AC6269B1FF32BC3FEE401F3CB6EF355993E31EC5224B524F80A011jEy3H" TargetMode="External"/><Relationship Id="rId9" Type="http://schemas.openxmlformats.org/officeDocument/2006/relationships/hyperlink" Target="consultantplus://offline/ref=F3BA6AE607F67387DB35B071B7AC6269B1FF32BC3FEE401F3CB6EF355993E31EC5224B524F80A21AjEy1H" TargetMode="External"/><Relationship Id="rId14" Type="http://schemas.openxmlformats.org/officeDocument/2006/relationships/hyperlink" Target="consultantplus://offline/ref=F3BA6AE607F67387DB35B071B7AC6269B1F832B837ED401F3CB6EF3559j9y3H" TargetMode="External"/><Relationship Id="rId22" Type="http://schemas.openxmlformats.org/officeDocument/2006/relationships/hyperlink" Target="consultantplus://offline/ref=F3BA6AE607F67387DB35B071B7AC6269B1FD32B738EC401F3CB6EF3559j9y3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2913</Words>
  <Characters>16605</Characters>
  <Application>Microsoft Office Word</Application>
  <DocSecurity>0</DocSecurity>
  <Lines>138</Lines>
  <Paragraphs>38</Paragraphs>
  <ScaleCrop>false</ScaleCrop>
  <Company>Krokoz™ Inc.</Company>
  <LinksUpToDate>false</LinksUpToDate>
  <CharactersWithSpaces>19480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1</cp:revision>
  <dcterms:created xsi:type="dcterms:W3CDTF">2013-10-28T07:50:00Z</dcterms:created>
  <dcterms:modified xsi:type="dcterms:W3CDTF">2013-10-28T07:51:00Z</dcterms:modified>
</cp:coreProperties>
</file>