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D9" w:rsidRPr="000D7E5B" w:rsidRDefault="000D7E5B" w:rsidP="000D7E5B">
      <w:pPr>
        <w:spacing w:before="0" w:beforeAutospacing="0" w:after="0" w:afterAutospacing="0"/>
        <w:ind w:firstLine="567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Приложение к приказу от</w:t>
      </w:r>
      <w:r w:rsidR="006F6037">
        <w:rPr>
          <w:rFonts w:hAnsi="Times New Roman" w:cs="Times New Roman"/>
          <w:color w:val="000000"/>
          <w:sz w:val="24"/>
          <w:szCs w:val="24"/>
          <w:lang w:val="ru-RU"/>
        </w:rPr>
        <w:t xml:space="preserve"> 25.1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2.2019г. № 64</w:t>
      </w:r>
    </w:p>
    <w:p w:rsidR="004261D9" w:rsidRPr="000D7E5B" w:rsidRDefault="004261D9" w:rsidP="000D7E5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1D9" w:rsidRPr="000D7E5B" w:rsidRDefault="00946D23" w:rsidP="006F6037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 политика для целей налогообложения</w:t>
      </w:r>
    </w:p>
    <w:p w:rsidR="004261D9" w:rsidRPr="000D7E5B" w:rsidRDefault="004261D9" w:rsidP="000D7E5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1D9" w:rsidRPr="000D7E5B" w:rsidRDefault="00946D23" w:rsidP="000D7E5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Ведение налогового учета возлагается на бухгалтерию, возглавляемую главным бухгалтером.</w:t>
      </w:r>
    </w:p>
    <w:p w:rsidR="002153C3" w:rsidRDefault="00946D23" w:rsidP="002153C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Для расчета единого налога используется объект налогообложения в виде доходов.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proofErr w:type="gramEnd"/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346.14 Налогового кодекса.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153C3" w:rsidRPr="002153C3" w:rsidRDefault="002153C3" w:rsidP="002153C3">
      <w:pPr>
        <w:spacing w:before="0" w:beforeAutospacing="0" w:after="0" w:afterAutospacing="0"/>
        <w:ind w:firstLine="567"/>
        <w:jc w:val="both"/>
        <w:rPr>
          <w:iCs/>
          <w:sz w:val="24"/>
          <w:szCs w:val="24"/>
          <w:lang w:val="ru-RU"/>
        </w:rPr>
      </w:pPr>
      <w:r w:rsidRPr="002153C3">
        <w:rPr>
          <w:sz w:val="24"/>
          <w:szCs w:val="24"/>
          <w:lang w:val="ru-RU"/>
        </w:rPr>
        <w:t>Учреждение</w:t>
      </w:r>
      <w:r w:rsidRPr="002153C3">
        <w:rPr>
          <w:sz w:val="24"/>
          <w:szCs w:val="24"/>
          <w:lang w:val="ru-RU"/>
        </w:rPr>
        <w:t xml:space="preserve"> применяет упрощенную систему налогообложения с 01.01.2010г (Уведомление МР ИФНС № 2 по Брянской области от 28.12.2009г.</w:t>
      </w:r>
      <w:proofErr w:type="gramStart"/>
      <w:r w:rsidRPr="002153C3">
        <w:rPr>
          <w:sz w:val="24"/>
          <w:szCs w:val="24"/>
          <w:lang w:val="ru-RU"/>
        </w:rPr>
        <w:t>).</w:t>
      </w:r>
      <w:r w:rsidRPr="002153C3">
        <w:rPr>
          <w:iCs/>
          <w:sz w:val="24"/>
          <w:szCs w:val="24"/>
          <w:lang w:val="ru-RU"/>
        </w:rPr>
        <w:t>Применение</w:t>
      </w:r>
      <w:proofErr w:type="gramEnd"/>
      <w:r w:rsidRPr="002153C3">
        <w:rPr>
          <w:iCs/>
          <w:sz w:val="24"/>
          <w:szCs w:val="24"/>
          <w:lang w:val="ru-RU"/>
        </w:rPr>
        <w:t xml:space="preserve"> упрощенной системы налогообложения Центром предусматривает их освобождение от обязанности по уплате налога на прибыль организаций  налога на имущество организаций, а также организации, применяющие упрощенную систему налогообложения, не признаются налогоплательщиками налога на добавленную стоимость. (НК РФ346.11.п.2).</w:t>
      </w:r>
    </w:p>
    <w:p w:rsidR="004261D9" w:rsidRPr="000D7E5B" w:rsidRDefault="00946D23" w:rsidP="000D7E5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3C3">
        <w:rPr>
          <w:rFonts w:hAnsi="Times New Roman" w:cs="Times New Roman"/>
          <w:color w:val="000000"/>
          <w:sz w:val="24"/>
          <w:szCs w:val="24"/>
          <w:lang w:val="ru-RU"/>
        </w:rPr>
        <w:t>Налоговая база по единому налогу определяется по данным книги учета доходов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и расходов.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доходы в виде имущества, полученного в рамках целевого финансирования, в </w:t>
      </w:r>
      <w:proofErr w:type="gramStart"/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</w:t>
      </w:r>
      <w:proofErr w:type="gramEnd"/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доходов и расходов не отражаются. Учет целевых поступлений, средств целевого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финансирования и расходов, оплаченных за счет этих средств, осуществляется в </w:t>
      </w:r>
      <w:proofErr w:type="gramStart"/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отдельном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регистре</w:t>
      </w:r>
      <w:proofErr w:type="gramEnd"/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, форма которого установлена приложением к настоящей учетной политике.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346.24, подпункт 1 п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1.1 ст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346.15, п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2 ст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251 Налогового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кодекса, письмо Минфина от 16.05.2011 № 03-11-06/2/77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61D9" w:rsidRPr="000D7E5B" w:rsidRDefault="00946D23" w:rsidP="000D7E5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Книга учета доходов и расходов ведется </w:t>
      </w:r>
      <w:proofErr w:type="spellStart"/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</w:t>
      </w:r>
      <w:proofErr w:type="spellEnd"/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с использованием типовой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версии программного продукта «Бухгалтерия автономного учреждения».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346.24 Налогового кодекса, 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1.4 Порядка, утвержденного приказом Минфина от 22.10.2012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135н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61D9" w:rsidRPr="000D7E5B" w:rsidRDefault="00946D23" w:rsidP="000D7E5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Записи в книге учета доходов и расходов осуществляются на основании первичных документов по каждой хозяйственной операции.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Неунифицированные формы первичных документов, разработанные учреждением самостоятельно, приведены в перечне неунифицированных форм первичных документов.</w:t>
      </w:r>
      <w:r w:rsidR="00AA1F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При отсутствии первичных документов записи подтверждаются справкой бухгалтера, составленной по форме, установленной приложением к настоящей учетной политике. Справка</w:t>
      </w:r>
      <w:r w:rsidR="000D7E5B" w:rsidRPr="00AA1F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формируется на основании данных бухучета о хозяйственных операциях.</w:t>
      </w:r>
    </w:p>
    <w:p w:rsidR="004261D9" w:rsidRPr="000D7E5B" w:rsidRDefault="00946D23" w:rsidP="000D7E5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В справке обязательно должны быть заполнены такие реквизиты, как:</w:t>
      </w:r>
    </w:p>
    <w:p w:rsidR="004261D9" w:rsidRPr="000D7E5B" w:rsidRDefault="00AA1F7D" w:rsidP="000D7E5B">
      <w:pPr>
        <w:spacing w:before="0" w:beforeAutospacing="0" w:after="0" w:afterAutospacing="0"/>
        <w:ind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46D23" w:rsidRPr="000D7E5B">
        <w:rPr>
          <w:rFonts w:hAnsi="Times New Roman" w:cs="Times New Roman"/>
          <w:color w:val="000000"/>
          <w:sz w:val="24"/>
          <w:szCs w:val="24"/>
          <w:lang w:val="ru-RU"/>
        </w:rPr>
        <w:t>наименование документа;</w:t>
      </w:r>
      <w:r w:rsid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6D23" w:rsidRPr="000D7E5B">
        <w:rPr>
          <w:rFonts w:hAnsi="Times New Roman" w:cs="Times New Roman"/>
          <w:color w:val="000000"/>
          <w:sz w:val="24"/>
          <w:szCs w:val="24"/>
          <w:lang w:val="ru-RU"/>
        </w:rPr>
        <w:t>наименование организации;</w:t>
      </w:r>
      <w:r w:rsid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6D23" w:rsidRPr="000D7E5B">
        <w:rPr>
          <w:rFonts w:hAnsi="Times New Roman" w:cs="Times New Roman"/>
          <w:color w:val="000000"/>
          <w:sz w:val="24"/>
          <w:szCs w:val="24"/>
          <w:lang w:val="ru-RU"/>
        </w:rPr>
        <w:t>дата составления документа</w:t>
      </w:r>
      <w:r w:rsid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46D23" w:rsidRPr="000D7E5B">
        <w:rPr>
          <w:rFonts w:hAnsi="Times New Roman" w:cs="Times New Roman"/>
          <w:color w:val="000000"/>
          <w:sz w:val="24"/>
          <w:szCs w:val="24"/>
          <w:lang w:val="ru-RU"/>
        </w:rPr>
        <w:t>содержание хозяйственной операции;</w:t>
      </w:r>
      <w:r w:rsid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6D23" w:rsidRPr="000D7E5B">
        <w:rPr>
          <w:rFonts w:hAnsi="Times New Roman" w:cs="Times New Roman"/>
          <w:color w:val="000000"/>
          <w:sz w:val="24"/>
          <w:szCs w:val="24"/>
          <w:lang w:val="ru-RU"/>
        </w:rPr>
        <w:t>величина натурального и (или) денежного измерения хозяйственной операции с</w:t>
      </w:r>
      <w:r w:rsid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6D23" w:rsidRPr="000D7E5B">
        <w:rPr>
          <w:rFonts w:hAnsi="Times New Roman" w:cs="Times New Roman"/>
          <w:color w:val="000000"/>
          <w:sz w:val="24"/>
          <w:szCs w:val="24"/>
          <w:lang w:val="ru-RU"/>
        </w:rPr>
        <w:t>указанием единицы измерения;</w:t>
      </w:r>
      <w:r w:rsid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6D23" w:rsidRPr="000D7E5B">
        <w:rPr>
          <w:rFonts w:hAnsi="Times New Roman" w:cs="Times New Roman"/>
          <w:color w:val="000000"/>
          <w:sz w:val="24"/>
          <w:szCs w:val="24"/>
          <w:lang w:val="ru-RU"/>
        </w:rPr>
        <w:t>наименование должности лица, ответственного (ответственных) за правильность оформления операции;</w:t>
      </w:r>
      <w:r w:rsid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6D23" w:rsidRPr="000D7E5B">
        <w:rPr>
          <w:rFonts w:hAnsi="Times New Roman" w:cs="Times New Roman"/>
          <w:color w:val="000000"/>
          <w:sz w:val="24"/>
          <w:szCs w:val="24"/>
          <w:lang w:val="ru-RU"/>
        </w:rPr>
        <w:t>подписи ответственных должностных лиц с указанием их фамилий и инициалов либо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6D23" w:rsidRPr="000D7E5B">
        <w:rPr>
          <w:rFonts w:hAnsi="Times New Roman" w:cs="Times New Roman"/>
          <w:color w:val="000000"/>
          <w:sz w:val="24"/>
          <w:szCs w:val="24"/>
          <w:lang w:val="ru-RU"/>
        </w:rPr>
        <w:t>иных реквизитов, необходимых для идентификации этих лиц.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="000D7E5B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proofErr w:type="gramEnd"/>
      <w:r w:rsidR="00946D23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1.1 Порядка, утвержденного приказом Минфина от 22.10.2012</w:t>
      </w:r>
      <w:r w:rsid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6D23" w:rsidRPr="000D7E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6D23" w:rsidRPr="000D7E5B">
        <w:rPr>
          <w:rFonts w:hAnsi="Times New Roman" w:cs="Times New Roman"/>
          <w:color w:val="000000"/>
          <w:sz w:val="24"/>
          <w:szCs w:val="24"/>
          <w:lang w:val="ru-RU"/>
        </w:rPr>
        <w:t>135н, ст</w:t>
      </w:r>
      <w:r w:rsidR="000D7E5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46D23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6D23" w:rsidRPr="000D7E5B">
        <w:rPr>
          <w:rFonts w:hAnsi="Times New Roman" w:cs="Times New Roman"/>
          <w:color w:val="000000"/>
          <w:sz w:val="24"/>
          <w:szCs w:val="24"/>
          <w:lang w:val="ru-RU"/>
        </w:rPr>
        <w:t>Закона от 06.12.2011 № 402-ФЗ, пункты 20, 25 СГС</w:t>
      </w:r>
      <w:r w:rsid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6D23" w:rsidRPr="000D7E5B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6D23" w:rsidRPr="000D7E5B">
        <w:rPr>
          <w:rFonts w:hAnsi="Times New Roman" w:cs="Times New Roman"/>
          <w:color w:val="000000"/>
          <w:sz w:val="24"/>
          <w:szCs w:val="24"/>
          <w:lang w:val="ru-RU"/>
        </w:rPr>
        <w:t>основы бухучета и отчетности», утвержденного приказом Минфина от 31.12.2016 № 256н</w:t>
      </w:r>
      <w:r w:rsidR="000D7E5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946D23" w:rsidRPr="000D7E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61D9" w:rsidRPr="000D7E5B" w:rsidRDefault="00946D23" w:rsidP="000D7E5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Доходы и расходы от переоценки имущества в виде валютных ценностей и требований (обязательств), стоимость которых выражена в иностранной валюте, не учитываются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346.17 Налогового кодекса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61D9" w:rsidRDefault="00946D23" w:rsidP="000D7E5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Сумма налога (авансового платежа) уменьшается на суммы взносов на обязательное пенсионное (социальное, медицинское) страхование и обязательное социальное страхование от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несчастных случаев на производстве, а также суммы взносов по соответствующим договорам на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добровольное личное страхование в пользу работников, исчисленные (отраженные в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декларациях) и уплаченные в течение отчетного (налогового) периода</w:t>
      </w:r>
      <w:r w:rsid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>(п.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 xml:space="preserve"> 3.1 статьи 346.21 Налогового кодекса</w:t>
      </w:r>
      <w:r w:rsidR="000D7E5B" w:rsidRPr="000D7E5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D7E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53C3" w:rsidRPr="000D7E5B" w:rsidRDefault="002153C3" w:rsidP="000D7E5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114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71"/>
        <w:gridCol w:w="369"/>
        <w:gridCol w:w="4700"/>
      </w:tblGrid>
      <w:tr w:rsidR="004261D9" w:rsidRPr="000D7E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1D9" w:rsidRPr="000D7E5B" w:rsidRDefault="00946D23" w:rsidP="000D7E5B">
            <w:pPr>
              <w:spacing w:before="0" w:beforeAutospacing="0" w:after="0" w:afterAutospacing="0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E5B"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 w:rsidRPr="000D7E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7E5B"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1D9" w:rsidRPr="000D7E5B" w:rsidRDefault="004261D9" w:rsidP="000D7E5B">
            <w:pPr>
              <w:spacing w:before="0" w:beforeAutospacing="0" w:after="0" w:afterAutospacing="0"/>
              <w:ind w:right="7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61D9" w:rsidRPr="000D7E5B" w:rsidRDefault="000D7E5B" w:rsidP="000D7E5B">
            <w:pPr>
              <w:spacing w:before="0" w:beforeAutospacing="0" w:after="0" w:afterAutospacing="0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Н.А. </w:t>
            </w:r>
            <w:proofErr w:type="spellStart"/>
            <w:r w:rsidRPr="000D7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Сивова</w:t>
            </w:r>
            <w:proofErr w:type="spellEnd"/>
          </w:p>
        </w:tc>
      </w:tr>
    </w:tbl>
    <w:p w:rsidR="00946D23" w:rsidRPr="000D7E5B" w:rsidRDefault="00946D23" w:rsidP="002153C3">
      <w:pPr>
        <w:spacing w:before="0" w:beforeAutospacing="0" w:after="0" w:afterAutospacing="0"/>
        <w:ind w:firstLine="567"/>
        <w:jc w:val="both"/>
        <w:rPr>
          <w:lang w:val="ru-RU"/>
        </w:rPr>
      </w:pPr>
    </w:p>
    <w:sectPr w:rsidR="00946D23" w:rsidRPr="000D7E5B" w:rsidSect="002153C3">
      <w:pgSz w:w="12240" w:h="15840"/>
      <w:pgMar w:top="709" w:right="1041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7460A"/>
    <w:multiLevelType w:val="hybridMultilevel"/>
    <w:tmpl w:val="9038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A0EE7"/>
    <w:multiLevelType w:val="hybridMultilevel"/>
    <w:tmpl w:val="D610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F0E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7E5B"/>
    <w:rsid w:val="002153C3"/>
    <w:rsid w:val="002D33B1"/>
    <w:rsid w:val="002D3591"/>
    <w:rsid w:val="003514A0"/>
    <w:rsid w:val="004261D9"/>
    <w:rsid w:val="00427CCA"/>
    <w:rsid w:val="004F7E17"/>
    <w:rsid w:val="005A05CE"/>
    <w:rsid w:val="00653AF6"/>
    <w:rsid w:val="006F6037"/>
    <w:rsid w:val="00946D23"/>
    <w:rsid w:val="00AA1F7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B34D5-344A-41BE-85C8-75A3C879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7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0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>Подготовлено экспертами Актион-МЦФЭР</dc:description>
  <cp:lastModifiedBy>Пользователь Windows</cp:lastModifiedBy>
  <cp:revision>3</cp:revision>
  <cp:lastPrinted>2020-06-04T11:29:00Z</cp:lastPrinted>
  <dcterms:created xsi:type="dcterms:W3CDTF">2020-06-04T09:19:00Z</dcterms:created>
  <dcterms:modified xsi:type="dcterms:W3CDTF">2020-06-04T11:29:00Z</dcterms:modified>
</cp:coreProperties>
</file>